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80"/>
          <w:sz w:val="28"/>
          <w:lang w:val="vi-VN"/>
        </w:rPr>
      </w:pP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Ngày 5/12/2024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con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 (Th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 PTNN: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 th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t theo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đự</w:t>
      </w:r>
      <w:r>
        <w:rPr>
          <w:rFonts w:hint="default" w:ascii="Times New Roman" w:hAnsi="Times New Roman" w:eastAsia="Times New Roman"/>
          <w:color w:val="000000"/>
          <w:sz w:val="28"/>
        </w:rPr>
        <w:t>ng nhi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>u hoa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Tranh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TC "Con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"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m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ng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ra xem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.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c tu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  tay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xem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m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a.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nghe.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1: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t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m,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di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ễ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minh hoa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2:</w:t>
      </w:r>
      <w:r>
        <w:rPr>
          <w:rFonts w:hint="default" w:ascii="Times New Roman" w:hAnsi="Times New Roman" w:eastAsia="Times New Roman"/>
          <w:color w:val="000000"/>
          <w:sz w:val="28"/>
        </w:rPr>
        <w:t> 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TC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t hoa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hoa"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ượ</w:t>
      </w:r>
      <w:r>
        <w:rPr>
          <w:rFonts w:hint="default" w:ascii="Times New Roman" w:hAnsi="Times New Roman" w:eastAsia="Times New Roman"/>
          <w:color w:val="000000"/>
          <w:sz w:val="28"/>
        </w:rPr>
        <w:t>t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hoa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đỏ</w:t>
      </w:r>
      <w:r>
        <w:rPr>
          <w:rFonts w:hint="default" w:ascii="Times New Roman" w:hAnsi="Times New Roman" w:eastAsia="Times New Roman"/>
          <w:color w:val="000000"/>
          <w:sz w:val="28"/>
        </w:rPr>
        <w:t>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xanh.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hoa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đỏ</w:t>
      </w:r>
      <w:r>
        <w:rPr>
          <w:rFonts w:hint="default" w:ascii="Times New Roman" w:hAnsi="Times New Roman" w:eastAsia="Times New Roman"/>
          <w:color w:val="000000"/>
          <w:sz w:val="28"/>
        </w:rPr>
        <w:t>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xanh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hoa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8"/>
        </w:rPr>
        <w:t>ng cho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.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 con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hoa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sai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Em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2: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PTTC: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" X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ng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ằ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đự</w:t>
      </w:r>
      <w:r>
        <w:rPr>
          <w:rFonts w:hint="default" w:ascii="Times New Roman" w:hAnsi="Times New Roman" w:eastAsia="Times New Roman"/>
          <w:color w:val="000000"/>
          <w:sz w:val="28"/>
        </w:rPr>
        <w:t>ng,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hoa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, loa.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i".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i.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i.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!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p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đẹ</w:t>
      </w:r>
      <w:r>
        <w:rPr>
          <w:rFonts w:hint="default" w:ascii="Times New Roman" w:hAnsi="Times New Roman" w:eastAsia="Times New Roman"/>
          <w:color w:val="000000"/>
          <w:sz w:val="28"/>
        </w:rPr>
        <w:t>p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xem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?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 xem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o?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sai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ằ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TC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+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hoa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 con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xong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1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hoa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>t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TC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5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 tay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FF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: Cho em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,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m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Chu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cho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,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a.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y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,tr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cho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sao cho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</w:p>
    <w:p>
      <w:pPr>
        <w:numPr>
          <w:ilvl w:val="0"/>
          <w:numId w:val="1"/>
        </w:numPr>
        <w:spacing w:before="56" w:beforeLines="0" w:after="113" w:afterLines="0"/>
        <w:ind w:left="36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Ai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-Khi nghe 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nhanh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p 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2-3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gian: 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do: </w:t>
      </w:r>
      <w:r>
        <w:rPr>
          <w:rFonts w:hint="default" w:ascii="Times New Roman" w:hAnsi="Times New Roman" w:eastAsia="Times New Roman"/>
          <w:color w:val="222222"/>
          <w:sz w:val="28"/>
        </w:rPr>
        <w:t>r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222222"/>
          <w:sz w:val="28"/>
        </w:rPr>
        <w:t>i t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222222"/>
          <w:sz w:val="28"/>
        </w:rPr>
        <w:t>i c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222222"/>
          <w:sz w:val="28"/>
        </w:rPr>
        <w:t>i c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222222"/>
          <w:sz w:val="28"/>
        </w:rPr>
        <w:t>n tr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222222"/>
          <w:sz w:val="28"/>
        </w:rPr>
        <w:t>ng (c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222222"/>
          <w:sz w:val="28"/>
        </w:rPr>
        <w:t>u tu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222222"/>
          <w:sz w:val="28"/>
        </w:rPr>
        <w:t>t , x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222222"/>
          <w:sz w:val="28"/>
        </w:rPr>
        <w:t>u</w:t>
      </w:r>
      <w:r>
        <w:rPr>
          <w:rFonts w:hint="default" w:ascii="Times New Roman" w:hAnsi="Times New Roman" w:eastAsia="Times New Roman"/>
          <w:color w:val="222222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222222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c bu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tay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n,sau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sinh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xong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 theo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ằ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ng nguy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li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1078E"/>
    <w:multiLevelType w:val="multilevel"/>
    <w:tmpl w:val="6761078E"/>
    <w:lvl w:ilvl="0" w:tentative="0">
      <w:start w:val="1"/>
      <w:numFmt w:val="bullet"/>
      <w:lvlText w:val="·"/>
      <w:lvlJc w:val="left"/>
      <w:rPr>
        <w:rFonts w:hint="default" w:ascii="Symbol" w:hAnsi="Symbol" w:eastAsia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5E3"/>
    <w:rsid w:val="04D643AF"/>
    <w:rsid w:val="07B31265"/>
    <w:rsid w:val="0EA354BA"/>
    <w:rsid w:val="20BC17BD"/>
    <w:rsid w:val="61601DFF"/>
    <w:rsid w:val="62423A49"/>
    <w:rsid w:val="68C53383"/>
    <w:rsid w:val="7AC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2024-12-17T05:10:07Z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